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 cy="594360"/>
            <wp:docPr id="1" name="Picture 1"/>
            <wp:cNvGraphicFramePr>
              <a:graphicFrameLocks noChangeAspect="1"/>
            </wp:cNvGraphicFramePr>
            <a:graphic>
              <a:graphicData uri="http://schemas.openxmlformats.org/drawingml/2006/picture">
                <pic:pic>
                  <pic:nvPicPr>
                    <pic:cNvPr id="0" name="main-logo.png"/>
                    <pic:cNvPicPr/>
                  </pic:nvPicPr>
                  <pic:blipFill>
                    <a:blip r:embed="rId9"/>
                    <a:stretch>
                      <a:fillRect/>
                    </a:stretch>
                  </pic:blipFill>
                  <pic:spPr>
                    <a:xfrm>
                      <a:off x="0" y="0"/>
                      <a:ext cx="594360" cy="594360"/>
                    </a:xfrm>
                    <a:prstGeom prst="rect"/>
                  </pic:spPr>
                </pic:pic>
              </a:graphicData>
            </a:graphic>
          </wp:inline>
        </w:drawing>
      </w:r>
    </w:p>
    <w:p>
      <w:pPr>
        <w:pStyle w:val="Title"/>
      </w:pPr>
      <w:r>
        <w:t>FIRE GOAT Project Whitepaper</w:t>
      </w:r>
    </w:p>
    <w:p>
      <w:pPr>
        <w:pStyle w:val="Subtitle"/>
      </w:pPr>
      <w:r>
        <w:t>FIRE GOAT  |  FGOAT  |  Launch edition  |  5 October 2026</w:t>
      </w:r>
    </w:p>
    <w:p>
      <w:r>
        <w:t>FIRE GOAT is a Solana community meme coin built around Ember, a virtual goat with flaming horns. The project combines an ongoing daily trail, a holder garden, collectible outfits and skill games. This document explains the launch model and the role of FGOAT in the experience.</w:t>
      </w:r>
    </w:p>
    <w:p>
      <w:pPr>
        <w:pStyle w:val="Heading1"/>
      </w:pPr>
      <w:r>
        <w:t>Project identity</w:t>
      </w:r>
    </w:p>
    <w:p>
      <w:r>
        <w:t>Our message is simple: One day. One fire jump. FIRE GOAT is designed for the long term, with no calendar-year theme, annual expiry or final year of play. Community participation and caring for Ember give the herd reasons to return beyond watching a chart.</w:t>
      </w:r>
    </w:p>
    <w:tbl>
      <w:tblPr>
        <w:tblW w:type="auto" w:w="0"/>
        <w:jc w:val="center"/>
        <w:tblLayout w:type="fixed"/>
        <w:tblLook w:firstColumn="1" w:firstRow="1" w:lastColumn="0" w:lastRow="0" w:noHBand="0" w:noVBand="1" w:val="04A0"/>
      </w:tblPr>
      <w:tblGrid>
        <w:gridCol w:w="2304"/>
        <w:gridCol w:w="7632"/>
      </w:tblGrid>
      <w:tr>
        <w:trPr>
          <w:tblHeader/>
        </w:trPr>
        <w:tc>
          <w:tcPr>
            <w:tcW w:type="dxa" w:w="230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Field</w:t>
            </w:r>
          </w:p>
        </w:tc>
        <w:tc>
          <w:tcPr>
            <w:tcW w:type="dxa" w:w="7632"/>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Launch information</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Token name</w:t>
            </w:r>
          </w:p>
        </w:tc>
        <w:tc>
          <w:tcPr>
            <w:tcW w:type="dxa" w:w="763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FIRE GOAT</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Ticker</w:t>
            </w:r>
          </w:p>
        </w:tc>
        <w:tc>
          <w:tcPr>
            <w:tcW w:type="dxa" w:w="763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FGOAT</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Network</w:t>
            </w:r>
          </w:p>
        </w:tc>
        <w:tc>
          <w:tcPr>
            <w:tcW w:type="dxa" w:w="763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Solana</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Launch platform</w:t>
            </w:r>
          </w:p>
        </w:tc>
        <w:tc>
          <w:tcPr>
            <w:tcW w:type="dxa" w:w="763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Pump.fun</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Contract address</w:t>
            </w:r>
          </w:p>
        </w:tc>
        <w:tc>
          <w:tcPr>
            <w:tcW w:type="dxa" w:w="763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[OFFICIAL_CA]</w:t>
            </w:r>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Website</w:t>
            </w:r>
          </w:p>
        </w:tc>
        <w:tc>
          <w:tcPr>
            <w:tcW w:type="dxa" w:w="7632"/>
            <w:vAlign w:val="center"/>
            <w:tcBorders>
              <w:top w:val="single" w:sz="4" w:color="D9D9D9"/>
              <w:left w:val="single" w:sz="4" w:color="D9D9D9"/>
              <w:bottom w:val="single" w:sz="4" w:color="D9D9D9"/>
              <w:right w:val="single" w:sz="4" w:color="D9D9D9"/>
            </w:tcBorders>
            <w:shd w:fill="F3F5F6"/>
          </w:tcPr>
          <w:p>
            <w:pPr>
              <w:spacing w:after="100" w:before="100"/>
            </w:pPr>
            <w:hyperlink r:id="rId11">
              <w:r>
                <w:t>https://firegoat.xyz</w:t>
              </w:r>
            </w:hyperlink>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Project account</w:t>
            </w:r>
          </w:p>
        </w:tc>
        <w:tc>
          <w:tcPr>
            <w:tcW w:type="dxa" w:w="7632"/>
            <w:vAlign w:val="center"/>
            <w:tcBorders>
              <w:top w:val="single" w:sz="4" w:color="D9D9D9"/>
              <w:left w:val="single" w:sz="4" w:color="D9D9D9"/>
              <w:bottom w:val="single" w:sz="4" w:color="D9D9D9"/>
              <w:right w:val="single" w:sz="4" w:color="D9D9D9"/>
            </w:tcBorders>
            <w:shd w:fill="FFFFFF"/>
          </w:tcPr>
          <w:p>
            <w:pPr>
              <w:spacing w:after="100" w:before="100"/>
            </w:pPr>
            <w:hyperlink r:id="rId12">
              <w:r>
                <w:t>https://x.com/FireGoat_Ember</w:t>
              </w:r>
            </w:hyperlink>
          </w:p>
        </w:tc>
      </w:tr>
      <w:tr>
        <w:tc>
          <w:tcPr>
            <w:tcW w:type="dxa" w:w="230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Pump.fun token page</w:t>
            </w:r>
          </w:p>
        </w:tc>
        <w:tc>
          <w:tcPr>
            <w:tcW w:type="dxa" w:w="763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[OFFICIAL_PUMP_FUN_URL]</w:t>
            </w:r>
          </w:p>
        </w:tc>
      </w:tr>
      <w:tr>
        <w:tc>
          <w:tcPr>
            <w:tcW w:type="dxa" w:w="230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Dexscreener pair</w:t>
            </w:r>
          </w:p>
        </w:tc>
        <w:tc>
          <w:tcPr>
            <w:tcW w:type="dxa" w:w="763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[OFFICIAL_DEXSCREENER_URL]</w:t>
            </w:r>
          </w:p>
        </w:tc>
      </w:tr>
    </w:tbl>
    <w:p>
      <w:pPr>
        <w:pStyle w:val="Heading1"/>
      </w:pPr>
      <w:r>
        <w:t>The daily fire trail</w:t>
      </w:r>
    </w:p>
    <w:p>
      <w:r>
        <w:t>Ember advances one space per day at 00:00 UTC. Visitors can inspect daily spaces and market snapshots. Each 365-space trail continues into another segment, so 365 days is a navigation unit rather than the lifetime of the project. Market capitalization is recorded market data, not a forecast. A daily jump marks time and can accompany a rising or falling market.</w:t>
      </w:r>
    </w:p>
    <w:p>
      <w:r>
        <w:t>Use the verified CA and official pair to identify FGOAT. The token name or artwork alone cannot establish that a token is authentic.</w:t>
      </w:r>
    </w:p>
    <w:p>
      <w:r>
        <w:br w:type="page"/>
      </w:r>
    </w:p>
    <w:p>
      <w:pPr>
        <w:pStyle w:val="Heading1"/>
      </w:pPr>
      <w:r>
        <w:t>Holder access and participation</w:t>
      </w:r>
    </w:p>
    <w:tbl>
      <w:tblPr>
        <w:tblW w:type="auto" w:w="0"/>
        <w:jc w:val="center"/>
        <w:tblLayout w:type="fixed"/>
        <w:tblLook w:firstColumn="1" w:firstRow="1" w:lastColumn="0" w:lastRow="0" w:noHBand="0" w:noVBand="1" w:val="04A0"/>
      </w:tblPr>
      <w:tblGrid>
        <w:gridCol w:w="3312"/>
        <w:gridCol w:w="6624"/>
      </w:tblGrid>
      <w:tr>
        <w:trPr>
          <w:tblHeader/>
        </w:trPr>
        <w:tc>
          <w:tcPr>
            <w:tcW w:type="dxa" w:w="3312"/>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Balance or condition</w:t>
            </w:r>
          </w:p>
        </w:tc>
        <w:tc>
          <w:tcPr>
            <w:tcW w:type="dxa" w:w="6624"/>
            <w:vAlign w:val="center"/>
            <w:tcBorders>
              <w:top w:val="single" w:sz="4" w:color="D9D9D9"/>
              <w:left w:val="single" w:sz="4" w:color="D9D9D9"/>
              <w:bottom w:val="single" w:sz="4" w:color="D9D9D9"/>
              <w:right w:val="single" w:sz="4" w:color="D9D9D9"/>
            </w:tcBorders>
            <w:shd w:fill="323232"/>
          </w:tcPr>
          <w:p>
            <w:pPr>
              <w:spacing w:after="100" w:before="100"/>
            </w:pPr>
            <w:r>
              <w:rPr>
                <w:b/>
                <w:color w:val="FFFFFF"/>
                <w:sz w:val="20"/>
              </w:rPr>
              <w:t>Access</w:t>
            </w:r>
          </w:p>
        </w:tc>
      </w:tr>
      <w:tr>
        <w:tc>
          <w:tcPr>
            <w:tcW w:type="dxa" w:w="331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At least 100,000 FGOAT</w:t>
            </w:r>
          </w:p>
        </w:tc>
        <w:tc>
          <w:tcPr>
            <w:tcW w:type="dxa" w:w="662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Holder garden, daily Mystery Box, collection and Workshop; outfit profile-picture downloads.</w:t>
            </w:r>
          </w:p>
        </w:tc>
      </w:tr>
      <w:tr>
        <w:tc>
          <w:tcPr>
            <w:tcW w:type="dxa" w:w="331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At least 1,000,000 FGOAT</w:t>
            </w:r>
          </w:p>
        </w:tc>
        <w:tc>
          <w:tcPr>
            <w:tcW w:type="dxa" w:w="662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Ordinary Candle Run access, subject to its lives and game rules.</w:t>
            </w:r>
          </w:p>
        </w:tc>
      </w:tr>
      <w:tr>
        <w:tc>
          <w:tcPr>
            <w:tcW w:type="dxa" w:w="3312"/>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100,000 or more and seven consecutive goals</w:t>
            </w:r>
          </w:p>
        </w:tc>
        <w:tc>
          <w:tcPr>
            <w:tcW w:type="dxa" w:w="6624"/>
            <w:vAlign w:val="center"/>
            <w:tcBorders>
              <w:top w:val="single" w:sz="4" w:color="D9D9D9"/>
              <w:left w:val="single" w:sz="4" w:color="D9D9D9"/>
              <w:bottom w:val="single" w:sz="4" w:color="D9D9D9"/>
              <w:right w:val="single" w:sz="4" w:color="D9D9D9"/>
            </w:tcBorders>
            <w:shd w:fill="FFFFFF"/>
          </w:tcPr>
          <w:p>
            <w:pPr>
              <w:spacing w:after="100" w:before="100"/>
            </w:pPr>
            <w:r>
              <w:rPr>
                <w:b w:val="0"/>
                <w:color w:val="000000"/>
                <w:sz w:val="20"/>
              </w:rPr>
              <w:t>Earn a limited Candle Run pass with three lives, even below 1,000,000 FGOAT.</w:t>
            </w:r>
          </w:p>
        </w:tc>
      </w:tr>
      <w:tr>
        <w:tc>
          <w:tcPr>
            <w:tcW w:type="dxa" w:w="3312"/>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Below the applicable threshold</w:t>
            </w:r>
          </w:p>
        </w:tc>
        <w:tc>
          <w:tcPr>
            <w:tcW w:type="dxa" w:w="6624"/>
            <w:vAlign w:val="center"/>
            <w:tcBorders>
              <w:top w:val="single" w:sz="4" w:color="D9D9D9"/>
              <w:left w:val="single" w:sz="4" w:color="D9D9D9"/>
              <w:bottom w:val="single" w:sz="4" w:color="D9D9D9"/>
              <w:right w:val="single" w:sz="4" w:color="D9D9D9"/>
            </w:tcBorders>
            <w:shd w:fill="F3F5F6"/>
          </w:tcPr>
          <w:p>
            <w:pPr>
              <w:spacing w:after="100" w:before="100"/>
            </w:pPr>
            <w:r>
              <w:rPr>
                <w:b w:val="0"/>
                <w:color w:val="000000"/>
                <w:sz w:val="20"/>
              </w:rPr>
              <w:t>Holder access pauses. Restoring the balance restores eligibility; welcome-box history does not restart.</w:t>
            </w:r>
          </w:p>
        </w:tc>
      </w:tr>
    </w:tbl>
    <w:p>
      <w:r>
        <w:t>Wallet connection and a signed message establish wallet ownership. The holder check reads the official token balance. Garden access and free daily boxes require no staking, entry payment or transfer of tokens to the project. A message signature for access does not send a transaction.</w:t>
      </w:r>
    </w:p>
    <w:p>
      <w:pPr>
        <w:pStyle w:val="Heading1"/>
      </w:pPr>
      <w:r>
        <w:t>A garden that remembers you</w:t>
      </w:r>
    </w:p>
    <w:p>
      <w:r>
        <w:t>Ember walks through the garden, responds to care and wears the outfit you select. Fullness, happiness, energy and cleanliness change over time. Feed Ember, play goalkeeper, offer a nap and take a shower to keep those needs healthy. Sleeping Ember must be awakened before feeding, showering or playing. Tap the sleeping goat to wake him.</w:t>
      </w:r>
    </w:p>
    <w:p>
      <w:r>
        <w:t>The first successful daily box gives a Cozy Goat Bed; the second gives a Garden TV. Subsequent boxes draw from the shared gift catalog. The TV plays full Cercle videos through YouTube, with site-wide music controls. The same wardrobe appearance carries into Candle Run. Goalkeeper clothing uses normal garden movement outside football and a goalkeeper stance during football.</w:t>
      </w:r>
    </w:p>
    <w:p>
      <w:r>
        <w:t>Collections can contain duplicate copies. Mixing three owned copies consumes them to produce Golden Baa or a Rasta outfit. Neglect can remove one earned item per complete day while any care stat remains at zero. Rebuying tokens restores access, but does not undo item losses already caused by neglect.</w:t>
      </w:r>
    </w:p>
    <w:p>
      <w:pPr>
        <w:pStyle w:val="Heading1"/>
      </w:pPr>
      <w:r>
        <w:t>Continuing content</w:t>
      </w:r>
    </w:p>
    <w:p>
      <w:r>
        <w:t>New outfits and garden items are planned weekly. Future additions can expand the wardrobe, team-inspired goalkeeper styles and rare crafting rewards. New content is an ongoing development goal rather than a fixed delivery guarantee.</w:t>
      </w:r>
    </w:p>
    <w:p>
      <w:r>
        <w:br w:type="page"/>
      </w:r>
    </w:p>
    <w:p>
      <w:pPr>
        <w:pStyle w:val="Heading1"/>
      </w:pPr>
      <w:r>
        <w:t>Rewards and the token model</w:t>
      </w:r>
    </w:p>
    <w:p>
      <w:pPr>
        <w:pStyle w:val="Heading1"/>
      </w:pPr>
      <w:r>
        <w:t>Pump fun Holder Rewards</w:t>
      </w:r>
    </w:p>
    <w:p>
      <w:r>
        <w:t>The intended launch setting is Enable Holder Rewards. Under this mode, the creator-fee portion of trading fees is directed to eligible holders and distributed automatically by Pump.fun. It is not retained as creator revenue. Once a coin uses Holder Rewards, it cannot revert to a regular creator-fee coin. Confirm the setting on the official token after creation.</w:t>
      </w:r>
    </w:p>
    <w:p>
      <w:r>
        <w:t>Pump.fun controls eligibility, calculation, payout assets and timing under its current platform rules. The website’s 100,000 and 1,000,000 FGOAT access thresholds are separate game rules and do not define Pump.fun reward eligibility. There is no fixed income, APY or minimum distribution promised by FIRE GOAT.</w:t>
      </w:r>
    </w:p>
    <w:p>
      <w:pPr>
        <w:pStyle w:val="Heading1"/>
      </w:pPr>
      <w:r>
        <w:t>Game rewards are a separate system</w:t>
      </w:r>
    </w:p>
    <w:p>
      <w:r>
        <w:t>Candle Run targets 1,000 FGOAT at every 500 consecutive candle clears in a single run, with level 3 as the eligibility gate. Wheel Day includes token prizes. The Workshop proposes rarity-based item redemption values. These features require a separately funded and activated payout service; a displayed or recorded pending balance is not a wallet transfer. Payout availability and redemption terms will be published when that service is activated.</w:t>
      </w:r>
    </w:p>
    <w:p>
      <w:r>
        <w:t>Creator fees redirected to Pump.fun holders are not simultaneously a project treasury or a game-prize budget. The team must identify a separate reward reserve and operating budget before token prizes or item redemption are made payable.</w:t>
      </w:r>
    </w:p>
    <w:p>
      <w:pPr>
        <w:pStyle w:val="Heading1"/>
      </w:pPr>
      <w:r>
        <w:t>Launch disclosures</w:t>
      </w:r>
    </w:p>
    <w:p>
      <w:r>
        <w:t>Total supply, token decimals, team holdings, allocations, vesting, liquidity arrangements, mint authority, freeze authority and any locks or burns must be confirmed from the actual launch configuration and on-chain state. No allocation, lock, audit or renounced authority is claimed in this edition. The official CA and trading links will be inserted after creation.</w:t>
      </w:r>
    </w:p>
    <w:p>
      <w:pPr>
        <w:pStyle w:val="Heading1"/>
      </w:pPr>
      <w:r>
        <w:t>Development and project risks</w:t>
      </w:r>
    </w:p>
    <w:p>
      <w:r>
        <w:t>FGOAT can lose value and liquidity can change. Games, providers and networks can experience interruptions. Collectible items are game assets, not NFTs, shares or guaranteed cash claims. Cosmetic style titles do not add gameplay bonuses unless a specific item effect is stated. Features can evolve with published rule changes.</w:t>
      </w:r>
    </w:p>
    <w:p>
      <w:r>
        <w:t>Priority milestones are token connection and verified market data, holder access activation, funded and verified reward settlement, and continued garden and game content. These milestones do not have guaranteed completion dates.</w:t>
      </w:r>
    </w:p>
    <w:p>
      <w:r>
        <w:t xml:space="preserve">Official community: </w:t>
      </w:r>
      <w:hyperlink r:id="rId13">
        <w:r>
          <w:t>https://discord.gg/nxUqYdkhK</w:t>
        </w:r>
      </w:hyperlink>
      <w:r>
        <w:t>.</w:t>
      </w:r>
      <w:r>
        <w:t xml:space="preserve"> Instagram: </w:t>
      </w:r>
      <w:hyperlink r:id="rId14">
        <w:r>
          <w:t>https://www.instagram.com/firegoat_ember/</w:t>
        </w:r>
      </w:hyperlink>
      <w:r>
        <w:t>.</w:t>
      </w:r>
      <w:r>
        <w:t xml:space="preserve"> Further information: </w:t>
      </w:r>
      <w:hyperlink r:id="rId15">
        <w:r>
          <w:t>https://firegoat.xyz/terms</w:t>
        </w:r>
      </w:hyperlink>
      <w:r>
        <w:t xml:space="preserve"> and </w:t>
      </w:r>
      <w:hyperlink r:id="rId16">
        <w:r>
          <w:t>https://firegoat.xyz/privacy</w:t>
        </w:r>
      </w:hyperlink>
      <w:r>
        <w:t>.</w:t>
      </w:r>
      <w:r>
        <w:t xml:space="preserve"> Platform reference: </w:t>
      </w:r>
      <w:hyperlink r:id="rId17">
        <w:r>
          <w:t>https://github.com/pump-fun/pump-public-docs/blob/main/docs/HOLDER_REWARDS_README.md</w:t>
        </w:r>
      </w:hyperlink>
    </w:p>
    <w:sectPr w:rsidR="00FC693F" w:rsidRPr="0006063C" w:rsidSect="00034616">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FIRE GOAT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firegoat.xyz" TargetMode="External"/><Relationship Id="rId12" Type="http://schemas.openxmlformats.org/officeDocument/2006/relationships/hyperlink" Target="https://x.com/FireGoat_Ember" TargetMode="External"/><Relationship Id="rId13" Type="http://schemas.openxmlformats.org/officeDocument/2006/relationships/hyperlink" Target="https://discord.gg/nxUqYdkhK" TargetMode="External"/><Relationship Id="rId14" Type="http://schemas.openxmlformats.org/officeDocument/2006/relationships/hyperlink" Target="https://www.instagram.com/firegoat_ember/" TargetMode="External"/><Relationship Id="rId15" Type="http://schemas.openxmlformats.org/officeDocument/2006/relationships/hyperlink" Target="https://firegoat.xyz/terms" TargetMode="External"/><Relationship Id="rId16" Type="http://schemas.openxmlformats.org/officeDocument/2006/relationships/hyperlink" Target="https://firegoat.xyz/privacy" TargetMode="External"/><Relationship Id="rId17" Type="http://schemas.openxmlformats.org/officeDocument/2006/relationships/hyperlink" Target="https://github.com/pump-fun/pump-public-docs/blob/main/docs/HOLDER_REWARDS_README.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GOAT project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